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Supplemental 4</w:t>
      </w:r>
    </w:p>
    <w:p>
      <w:r>
        <w:t xml:space="preserve"> </w:t>
      </w:r>
    </w:p>
    <w:p>
      <w:pPr>
        <w:pStyle w:val="Heading2"/>
      </w:pPr>
      <w:r>
        <w:t>Stability by feature class</w:t>
      </w:r>
    </w:p>
    <w:p>
      <w:r>
        <w:t xml:space="preserve"> </w:t>
      </w:r>
    </w:p>
    <w:p>
      <w:r>
        <w:t>Dataset All</w:t>
      </w:r>
    </w:p>
    <w:p>
      <w:r>
        <w:drawing>
          <wp:inline xmlns:a="http://schemas.openxmlformats.org/drawingml/2006/main" xmlns:pic="http://schemas.openxmlformats.org/drawingml/2006/picture">
            <wp:extent cx="4114800" cy="61722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tability_by_Type_All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172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Carvalho2018</w:t>
      </w:r>
    </w:p>
    <w:p>
      <w:r>
        <w:drawing>
          <wp:inline xmlns:a="http://schemas.openxmlformats.org/drawingml/2006/main" xmlns:pic="http://schemas.openxmlformats.org/drawingml/2006/picture">
            <wp:extent cx="4114800" cy="61722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tability_by_Type_Carvalho2018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172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Hosny2018A</w:t>
      </w:r>
    </w:p>
    <w:p>
      <w:r>
        <w:drawing>
          <wp:inline xmlns:a="http://schemas.openxmlformats.org/drawingml/2006/main" xmlns:pic="http://schemas.openxmlformats.org/drawingml/2006/picture">
            <wp:extent cx="4114800" cy="61722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tability_by_Type_Hosny2018A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172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Hosny2018B</w:t>
      </w:r>
    </w:p>
    <w:p>
      <w:r>
        <w:drawing>
          <wp:inline xmlns:a="http://schemas.openxmlformats.org/drawingml/2006/main" xmlns:pic="http://schemas.openxmlformats.org/drawingml/2006/picture">
            <wp:extent cx="4114800" cy="61722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tability_by_Type_Hosny2018B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172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Hosny2018C</w:t>
      </w:r>
    </w:p>
    <w:p>
      <w:r>
        <w:drawing>
          <wp:inline xmlns:a="http://schemas.openxmlformats.org/drawingml/2006/main" xmlns:pic="http://schemas.openxmlformats.org/drawingml/2006/picture">
            <wp:extent cx="4114800" cy="61722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tability_by_Type_Hosny2018C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172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Ramella2018</w:t>
      </w:r>
    </w:p>
    <w:p>
      <w:r>
        <w:drawing>
          <wp:inline xmlns:a="http://schemas.openxmlformats.org/drawingml/2006/main" xmlns:pic="http://schemas.openxmlformats.org/drawingml/2006/picture">
            <wp:extent cx="4114800" cy="61722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tability_by_Type_Ramella2018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172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Toivonen2019</w:t>
      </w:r>
    </w:p>
    <w:p>
      <w:r>
        <w:drawing>
          <wp:inline xmlns:a="http://schemas.openxmlformats.org/drawingml/2006/main" xmlns:pic="http://schemas.openxmlformats.org/drawingml/2006/picture">
            <wp:extent cx="4114800" cy="61722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tability_by_Type_Toivonen2019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172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Keek2020</w:t>
      </w:r>
    </w:p>
    <w:p>
      <w:r>
        <w:drawing>
          <wp:inline xmlns:a="http://schemas.openxmlformats.org/drawingml/2006/main" xmlns:pic="http://schemas.openxmlformats.org/drawingml/2006/picture">
            <wp:extent cx="4114800" cy="61722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tability_by_Type_Keek2020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172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Li2020</w:t>
      </w:r>
    </w:p>
    <w:p>
      <w:r>
        <w:drawing>
          <wp:inline xmlns:a="http://schemas.openxmlformats.org/drawingml/2006/main" xmlns:pic="http://schemas.openxmlformats.org/drawingml/2006/picture">
            <wp:extent cx="4114800" cy="61722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tability_by_Type_Li2020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172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Park2020</w:t>
      </w:r>
    </w:p>
    <w:p>
      <w:r>
        <w:drawing>
          <wp:inline xmlns:a="http://schemas.openxmlformats.org/drawingml/2006/main" xmlns:pic="http://schemas.openxmlformats.org/drawingml/2006/picture">
            <wp:extent cx="4114800" cy="61722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tability_by_Type_Park2020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172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Song2020</w:t>
      </w:r>
    </w:p>
    <w:p>
      <w:r>
        <w:drawing>
          <wp:inline xmlns:a="http://schemas.openxmlformats.org/drawingml/2006/main" xmlns:pic="http://schemas.openxmlformats.org/drawingml/2006/picture">
            <wp:extent cx="4114800" cy="61722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tability_by_Type_Song2020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172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203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Arial" w:hAnsi="Ari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